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47716" w14:textId="77777777" w:rsidR="00E63137" w:rsidRDefault="00E63137" w:rsidP="00E63137">
      <w:pPr>
        <w:jc w:val="center"/>
        <w:rPr>
          <w:b/>
          <w:sz w:val="22"/>
          <w:szCs w:val="22"/>
        </w:rPr>
      </w:pPr>
      <w:r w:rsidRPr="000364F5">
        <w:rPr>
          <w:b/>
          <w:sz w:val="22"/>
          <w:szCs w:val="22"/>
        </w:rPr>
        <w:t>PROCEDURE DE DEMANDE DE MOBILITE</w:t>
      </w:r>
      <w:r>
        <w:rPr>
          <w:b/>
          <w:sz w:val="22"/>
          <w:szCs w:val="22"/>
        </w:rPr>
        <w:t xml:space="preserve"> </w:t>
      </w:r>
    </w:p>
    <w:p w14:paraId="09194629" w14:textId="77777777" w:rsidR="00E63137" w:rsidRPr="000364F5" w:rsidRDefault="00E63137" w:rsidP="00E6313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MOBILITES DES PERSONNELS HORS EUROPE</w:t>
      </w:r>
    </w:p>
    <w:p w14:paraId="29A54B18" w14:textId="77777777" w:rsidR="00E63137" w:rsidRPr="000364F5" w:rsidRDefault="00E63137" w:rsidP="00E63137">
      <w:pPr>
        <w:rPr>
          <w:sz w:val="22"/>
          <w:szCs w:val="22"/>
        </w:rPr>
      </w:pPr>
    </w:p>
    <w:p w14:paraId="453E9409" w14:textId="77777777" w:rsidR="00E63137" w:rsidRPr="000364F5" w:rsidRDefault="00E63137" w:rsidP="00E63137">
      <w:pPr>
        <w:rPr>
          <w:sz w:val="22"/>
          <w:szCs w:val="22"/>
        </w:rPr>
      </w:pPr>
    </w:p>
    <w:p w14:paraId="099AAC81" w14:textId="77777777" w:rsidR="00B86F0D" w:rsidRPr="000364F5" w:rsidRDefault="00B86F0D" w:rsidP="00B86F0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LA MOBILITE DES PERSONNELS EN EUROPE </w:t>
      </w:r>
      <w:r w:rsidRPr="000364F5">
        <w:rPr>
          <w:sz w:val="22"/>
          <w:szCs w:val="22"/>
          <w:u w:val="single"/>
        </w:rPr>
        <w:t>:</w:t>
      </w:r>
    </w:p>
    <w:p w14:paraId="2487FB81" w14:textId="77777777" w:rsidR="00E63137" w:rsidRPr="000364F5" w:rsidRDefault="00E63137" w:rsidP="00E63137">
      <w:pPr>
        <w:rPr>
          <w:sz w:val="22"/>
          <w:szCs w:val="22"/>
        </w:rPr>
      </w:pPr>
    </w:p>
    <w:p w14:paraId="0FC85610" w14:textId="597B6804" w:rsidR="00E63137" w:rsidRPr="000364F5" w:rsidRDefault="00E63137" w:rsidP="00E63137">
      <w:pPr>
        <w:rPr>
          <w:sz w:val="22"/>
          <w:szCs w:val="22"/>
        </w:rPr>
      </w:pPr>
      <w:r w:rsidRPr="000364F5">
        <w:rPr>
          <w:sz w:val="22"/>
          <w:szCs w:val="22"/>
        </w:rPr>
        <w:t xml:space="preserve">La mobilité des personnels </w:t>
      </w:r>
      <w:r>
        <w:rPr>
          <w:sz w:val="22"/>
          <w:szCs w:val="22"/>
        </w:rPr>
        <w:t xml:space="preserve">Hors Europe </w:t>
      </w:r>
      <w:r w:rsidRPr="000364F5">
        <w:rPr>
          <w:sz w:val="22"/>
          <w:szCs w:val="22"/>
        </w:rPr>
        <w:t xml:space="preserve">revêt </w:t>
      </w:r>
      <w:r w:rsidR="00ED2794">
        <w:rPr>
          <w:sz w:val="22"/>
          <w:szCs w:val="22"/>
        </w:rPr>
        <w:t>trois</w:t>
      </w:r>
      <w:r w:rsidRPr="000364F5">
        <w:rPr>
          <w:sz w:val="22"/>
          <w:szCs w:val="22"/>
        </w:rPr>
        <w:t xml:space="preserve"> formes :</w:t>
      </w:r>
    </w:p>
    <w:p w14:paraId="139A6142" w14:textId="77777777" w:rsidR="00E63137" w:rsidRDefault="00E63137" w:rsidP="00E63137">
      <w:pPr>
        <w:pStyle w:val="Pardeliste"/>
        <w:numPr>
          <w:ilvl w:val="0"/>
          <w:numId w:val="1"/>
        </w:numPr>
        <w:rPr>
          <w:sz w:val="22"/>
          <w:szCs w:val="22"/>
        </w:rPr>
      </w:pPr>
      <w:r w:rsidRPr="000364F5">
        <w:rPr>
          <w:sz w:val="22"/>
          <w:szCs w:val="22"/>
        </w:rPr>
        <w:t xml:space="preserve">La mobilité ENSEIGNEMENT </w:t>
      </w:r>
    </w:p>
    <w:p w14:paraId="6E524721" w14:textId="657FA97C" w:rsidR="00ED2794" w:rsidRPr="000364F5" w:rsidRDefault="00ED2794" w:rsidP="00E63137">
      <w:pPr>
        <w:pStyle w:val="Par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La mobilité FORMATION</w:t>
      </w:r>
    </w:p>
    <w:p w14:paraId="2491D25B" w14:textId="77777777" w:rsidR="00E63137" w:rsidRPr="000364F5" w:rsidRDefault="00E63137" w:rsidP="00E63137">
      <w:pPr>
        <w:pStyle w:val="Pardeliste"/>
        <w:numPr>
          <w:ilvl w:val="0"/>
          <w:numId w:val="1"/>
        </w:numPr>
        <w:rPr>
          <w:sz w:val="22"/>
          <w:szCs w:val="22"/>
        </w:rPr>
      </w:pPr>
      <w:r w:rsidRPr="000364F5">
        <w:rPr>
          <w:sz w:val="22"/>
          <w:szCs w:val="22"/>
        </w:rPr>
        <w:t xml:space="preserve">La mobilité </w:t>
      </w:r>
      <w:r>
        <w:rPr>
          <w:sz w:val="22"/>
          <w:szCs w:val="22"/>
        </w:rPr>
        <w:t>pour UNE VISITE PREPARATOIRE EN VUE D’UN NOUVEAU PARTENARIAT</w:t>
      </w:r>
      <w:r w:rsidRPr="000364F5">
        <w:rPr>
          <w:sz w:val="22"/>
          <w:szCs w:val="22"/>
        </w:rPr>
        <w:t xml:space="preserve"> </w:t>
      </w:r>
    </w:p>
    <w:p w14:paraId="093FBB70" w14:textId="77777777" w:rsidR="00E63137" w:rsidRPr="000364F5" w:rsidRDefault="00E63137" w:rsidP="00E63137">
      <w:pPr>
        <w:pStyle w:val="Pardeliste"/>
        <w:rPr>
          <w:sz w:val="22"/>
          <w:szCs w:val="22"/>
        </w:rPr>
      </w:pPr>
    </w:p>
    <w:p w14:paraId="22379992" w14:textId="77777777" w:rsidR="00ED2794" w:rsidRPr="000364F5" w:rsidRDefault="00ED2794" w:rsidP="00ED2794">
      <w:pPr>
        <w:rPr>
          <w:sz w:val="22"/>
          <w:szCs w:val="22"/>
        </w:rPr>
      </w:pPr>
      <w:r w:rsidRPr="000364F5">
        <w:rPr>
          <w:sz w:val="22"/>
          <w:szCs w:val="22"/>
        </w:rPr>
        <w:t>La mobilité ENSEIGNEMENT concerne les enseignants de l’</w:t>
      </w:r>
      <w:proofErr w:type="spellStart"/>
      <w:r w:rsidRPr="000364F5">
        <w:rPr>
          <w:sz w:val="22"/>
          <w:szCs w:val="22"/>
        </w:rPr>
        <w:t>Esban</w:t>
      </w:r>
      <w:proofErr w:type="spellEnd"/>
      <w:r w:rsidRPr="000364F5">
        <w:rPr>
          <w:sz w:val="22"/>
          <w:szCs w:val="22"/>
        </w:rPr>
        <w:t>.</w:t>
      </w:r>
    </w:p>
    <w:p w14:paraId="42FFEAE0" w14:textId="6F08D1CF" w:rsidR="00ED2794" w:rsidRDefault="00ED2794" w:rsidP="00ED2794">
      <w:pPr>
        <w:rPr>
          <w:sz w:val="22"/>
          <w:szCs w:val="22"/>
        </w:rPr>
      </w:pPr>
      <w:r w:rsidRPr="000364F5">
        <w:rPr>
          <w:sz w:val="22"/>
          <w:szCs w:val="22"/>
        </w:rPr>
        <w:t xml:space="preserve">Elle se déroule dans un établissement d’enseignement supérieur partenaire </w:t>
      </w:r>
      <w:r>
        <w:rPr>
          <w:sz w:val="22"/>
          <w:szCs w:val="22"/>
        </w:rPr>
        <w:t>Hors Europe.</w:t>
      </w:r>
    </w:p>
    <w:p w14:paraId="4065E13E" w14:textId="77777777" w:rsidR="00ED2794" w:rsidRPr="000364F5" w:rsidRDefault="00ED2794" w:rsidP="00ED2794">
      <w:pPr>
        <w:rPr>
          <w:sz w:val="22"/>
          <w:szCs w:val="22"/>
        </w:rPr>
      </w:pPr>
    </w:p>
    <w:p w14:paraId="6EE25A41" w14:textId="77777777" w:rsidR="00ED2794" w:rsidRPr="00CD3952" w:rsidRDefault="00ED2794" w:rsidP="00ED2794">
      <w:pPr>
        <w:rPr>
          <w:color w:val="000000" w:themeColor="text1"/>
          <w:sz w:val="22"/>
          <w:szCs w:val="22"/>
        </w:rPr>
      </w:pPr>
      <w:r w:rsidRPr="00CD3952">
        <w:rPr>
          <w:color w:val="000000" w:themeColor="text1"/>
          <w:sz w:val="22"/>
          <w:szCs w:val="22"/>
        </w:rPr>
        <w:t>La mobilité FORMATION concerne l’ensemble des personnels de l’</w:t>
      </w:r>
      <w:proofErr w:type="spellStart"/>
      <w:r w:rsidRPr="00CD3952">
        <w:rPr>
          <w:color w:val="000000" w:themeColor="text1"/>
          <w:sz w:val="22"/>
          <w:szCs w:val="22"/>
        </w:rPr>
        <w:t>Esban</w:t>
      </w:r>
      <w:proofErr w:type="spellEnd"/>
      <w:r w:rsidRPr="00CD3952">
        <w:rPr>
          <w:color w:val="000000" w:themeColor="text1"/>
          <w:sz w:val="22"/>
          <w:szCs w:val="22"/>
        </w:rPr>
        <w:t> : les personnels enseignant ; administratif ; technique.</w:t>
      </w:r>
    </w:p>
    <w:p w14:paraId="7CAD695E" w14:textId="798A413D" w:rsidR="00ED2794" w:rsidRPr="00CD3952" w:rsidRDefault="00ED2794" w:rsidP="00ED2794">
      <w:pPr>
        <w:pStyle w:val="p1"/>
        <w:rPr>
          <w:rFonts w:asciiTheme="minorHAnsi" w:hAnsiTheme="minorHAnsi"/>
          <w:color w:val="000000" w:themeColor="text1"/>
          <w:sz w:val="22"/>
          <w:szCs w:val="22"/>
        </w:rPr>
      </w:pPr>
      <w:r w:rsidRPr="00CD3952">
        <w:rPr>
          <w:rFonts w:asciiTheme="minorHAnsi" w:hAnsiTheme="minorHAnsi"/>
          <w:color w:val="000000" w:themeColor="text1"/>
          <w:sz w:val="22"/>
          <w:szCs w:val="22"/>
        </w:rPr>
        <w:t xml:space="preserve">Elle se déroule dans un établissement d’enseignement supérieur partenaire </w:t>
      </w:r>
      <w:r w:rsidR="00EE0232">
        <w:rPr>
          <w:rFonts w:asciiTheme="minorHAnsi" w:hAnsiTheme="minorHAnsi"/>
          <w:color w:val="000000" w:themeColor="text1"/>
          <w:sz w:val="22"/>
          <w:szCs w:val="22"/>
        </w:rPr>
        <w:t>Hors Europe</w:t>
      </w:r>
    </w:p>
    <w:p w14:paraId="23B041CC" w14:textId="77777777" w:rsidR="00ED2794" w:rsidRPr="00CD3952" w:rsidRDefault="00ED2794" w:rsidP="00ED2794">
      <w:pPr>
        <w:pStyle w:val="p1"/>
        <w:rPr>
          <w:rFonts w:asciiTheme="minorHAnsi" w:hAnsiTheme="minorHAnsi"/>
          <w:color w:val="000000" w:themeColor="text1"/>
          <w:sz w:val="22"/>
          <w:szCs w:val="22"/>
        </w:rPr>
      </w:pPr>
      <w:proofErr w:type="gramStart"/>
      <w:r w:rsidRPr="00CD3952">
        <w:rPr>
          <w:rFonts w:asciiTheme="minorHAnsi" w:hAnsiTheme="minorHAnsi"/>
          <w:color w:val="000000" w:themeColor="text1"/>
          <w:sz w:val="22"/>
          <w:szCs w:val="22"/>
        </w:rPr>
        <w:t>ou</w:t>
      </w:r>
      <w:proofErr w:type="gramEnd"/>
      <w:r w:rsidRPr="00CD395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0CD50B02" w14:textId="2C8CC89D" w:rsidR="00ED2794" w:rsidRPr="00ED2794" w:rsidRDefault="00ED2794" w:rsidP="00ED2794">
      <w:pPr>
        <w:pStyle w:val="p1"/>
        <w:rPr>
          <w:rFonts w:asciiTheme="minorHAnsi" w:hAnsiTheme="minorHAnsi"/>
          <w:color w:val="000000" w:themeColor="text1"/>
          <w:sz w:val="22"/>
          <w:szCs w:val="22"/>
        </w:rPr>
      </w:pPr>
      <w:proofErr w:type="gramStart"/>
      <w:r w:rsidRPr="00CD3952">
        <w:rPr>
          <w:rFonts w:asciiTheme="minorHAnsi" w:hAnsiTheme="minorHAnsi"/>
          <w:color w:val="000000" w:themeColor="text1"/>
          <w:sz w:val="22"/>
          <w:szCs w:val="22"/>
        </w:rPr>
        <w:t>dans</w:t>
      </w:r>
      <w:proofErr w:type="gramEnd"/>
      <w:r w:rsidRPr="00CD3952">
        <w:rPr>
          <w:rFonts w:asciiTheme="minorHAnsi" w:hAnsiTheme="minorHAnsi"/>
          <w:color w:val="000000" w:themeColor="text1"/>
          <w:sz w:val="22"/>
          <w:szCs w:val="22"/>
        </w:rPr>
        <w:t xml:space="preserve"> une entreprise</w:t>
      </w:r>
      <w:r w:rsidRPr="00CD3952">
        <w:rPr>
          <w:rStyle w:val="s1"/>
          <w:rFonts w:asciiTheme="minorHAnsi" w:hAnsiTheme="minorHAnsi"/>
          <w:color w:val="000000" w:themeColor="text1"/>
          <w:sz w:val="22"/>
          <w:szCs w:val="22"/>
        </w:rPr>
        <w:t xml:space="preserve"> ou tout autre organisme actif dans le champ </w:t>
      </w:r>
      <w:r w:rsidR="00F04C82">
        <w:rPr>
          <w:rStyle w:val="s1"/>
          <w:rFonts w:asciiTheme="minorHAnsi" w:hAnsiTheme="minorHAnsi"/>
          <w:color w:val="000000" w:themeColor="text1"/>
          <w:sz w:val="22"/>
          <w:szCs w:val="22"/>
        </w:rPr>
        <w:t>de la formation, de l’art/la culture</w:t>
      </w:r>
      <w:r w:rsidR="00EE0232">
        <w:rPr>
          <w:rStyle w:val="s1"/>
          <w:rFonts w:asciiTheme="minorHAnsi" w:hAnsiTheme="minorHAnsi"/>
          <w:color w:val="000000" w:themeColor="text1"/>
          <w:sz w:val="22"/>
          <w:szCs w:val="22"/>
        </w:rPr>
        <w:t xml:space="preserve"> Hors Europe</w:t>
      </w:r>
      <w:r w:rsidR="00F04C82">
        <w:rPr>
          <w:rStyle w:val="s1"/>
          <w:rFonts w:asciiTheme="minorHAnsi" w:hAnsiTheme="minorHAnsi"/>
          <w:color w:val="000000" w:themeColor="text1"/>
          <w:sz w:val="22"/>
          <w:szCs w:val="22"/>
        </w:rPr>
        <w:t>.</w:t>
      </w:r>
    </w:p>
    <w:p w14:paraId="64140FAF" w14:textId="77777777" w:rsidR="00ED2794" w:rsidRDefault="00ED2794" w:rsidP="00ED2794">
      <w:pPr>
        <w:rPr>
          <w:sz w:val="22"/>
          <w:szCs w:val="22"/>
        </w:rPr>
      </w:pPr>
    </w:p>
    <w:p w14:paraId="1A460894" w14:textId="70ECF88C" w:rsidR="00ED2794" w:rsidRDefault="00ED2794" w:rsidP="00ED2794">
      <w:pPr>
        <w:rPr>
          <w:sz w:val="22"/>
          <w:szCs w:val="22"/>
        </w:rPr>
      </w:pPr>
      <w:r w:rsidRPr="00ED2794">
        <w:rPr>
          <w:sz w:val="22"/>
          <w:szCs w:val="22"/>
        </w:rPr>
        <w:t xml:space="preserve">La mobilité pour UNE VISITE PREPARATOIRE EN VUE D’UN NOUVEAU PARTENARIAT </w:t>
      </w:r>
      <w:r>
        <w:rPr>
          <w:sz w:val="22"/>
          <w:szCs w:val="22"/>
        </w:rPr>
        <w:t xml:space="preserve">se déroule dans </w:t>
      </w:r>
      <w:r w:rsidRPr="000364F5">
        <w:rPr>
          <w:sz w:val="22"/>
          <w:szCs w:val="22"/>
        </w:rPr>
        <w:t>un établiss</w:t>
      </w:r>
      <w:r>
        <w:rPr>
          <w:sz w:val="22"/>
          <w:szCs w:val="22"/>
        </w:rPr>
        <w:t>ement d’enseignement supérieur</w:t>
      </w:r>
      <w:r w:rsidRPr="000364F5">
        <w:rPr>
          <w:sz w:val="22"/>
          <w:szCs w:val="22"/>
        </w:rPr>
        <w:t xml:space="preserve"> </w:t>
      </w:r>
      <w:r>
        <w:rPr>
          <w:sz w:val="22"/>
          <w:szCs w:val="22"/>
        </w:rPr>
        <w:t>Hors Europe.</w:t>
      </w:r>
    </w:p>
    <w:p w14:paraId="45B984F6" w14:textId="6EE80BE5" w:rsidR="00ED2794" w:rsidRPr="00ED2794" w:rsidRDefault="00ED2794" w:rsidP="00ED2794">
      <w:pPr>
        <w:rPr>
          <w:sz w:val="22"/>
          <w:szCs w:val="22"/>
        </w:rPr>
      </w:pPr>
    </w:p>
    <w:p w14:paraId="2A443C31" w14:textId="4F25E93A" w:rsidR="00E63137" w:rsidRPr="000364F5" w:rsidRDefault="00E63137" w:rsidP="00ED2794">
      <w:pPr>
        <w:rPr>
          <w:sz w:val="22"/>
          <w:szCs w:val="22"/>
        </w:rPr>
      </w:pPr>
      <w:r w:rsidRPr="000364F5">
        <w:rPr>
          <w:sz w:val="22"/>
          <w:szCs w:val="22"/>
        </w:rPr>
        <w:t xml:space="preserve">La mobilité </w:t>
      </w:r>
      <w:r>
        <w:rPr>
          <w:sz w:val="22"/>
          <w:szCs w:val="22"/>
        </w:rPr>
        <w:t xml:space="preserve">Hors Europe </w:t>
      </w:r>
      <w:r w:rsidR="00ED2794">
        <w:rPr>
          <w:sz w:val="22"/>
          <w:szCs w:val="22"/>
        </w:rPr>
        <w:t>des Personnels est encadrée par :</w:t>
      </w:r>
      <w:r w:rsidRPr="000364F5">
        <w:rPr>
          <w:sz w:val="22"/>
          <w:szCs w:val="22"/>
        </w:rPr>
        <w:t xml:space="preserve"> </w:t>
      </w:r>
    </w:p>
    <w:p w14:paraId="5DEE35C3" w14:textId="1E02A6EA" w:rsidR="007929FF" w:rsidRPr="00E0333C" w:rsidRDefault="007929FF" w:rsidP="007929FF">
      <w:pPr>
        <w:pStyle w:val="Pardeliste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E0333C">
        <w:rPr>
          <w:color w:val="000000" w:themeColor="text1"/>
          <w:sz w:val="22"/>
          <w:szCs w:val="22"/>
        </w:rPr>
        <w:t xml:space="preserve">Une Fiche </w:t>
      </w:r>
      <w:r w:rsidR="00ED2794" w:rsidRPr="00E0333C">
        <w:rPr>
          <w:color w:val="000000" w:themeColor="text1"/>
          <w:sz w:val="22"/>
          <w:szCs w:val="22"/>
        </w:rPr>
        <w:t>Candidat</w:t>
      </w:r>
    </w:p>
    <w:p w14:paraId="16917566" w14:textId="77777777" w:rsidR="007929FF" w:rsidRPr="00E0333C" w:rsidRDefault="007929FF" w:rsidP="007929FF">
      <w:pPr>
        <w:pStyle w:val="Pardeliste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E0333C">
        <w:rPr>
          <w:color w:val="000000" w:themeColor="text1"/>
          <w:sz w:val="22"/>
          <w:szCs w:val="22"/>
        </w:rPr>
        <w:t>Un Contrat de mobilité</w:t>
      </w:r>
    </w:p>
    <w:p w14:paraId="655191AF" w14:textId="77777777" w:rsidR="007929FF" w:rsidRPr="00E0333C" w:rsidRDefault="007929FF" w:rsidP="007929FF">
      <w:pPr>
        <w:pStyle w:val="Pardeliste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E0333C">
        <w:rPr>
          <w:color w:val="000000" w:themeColor="text1"/>
          <w:sz w:val="22"/>
          <w:szCs w:val="22"/>
        </w:rPr>
        <w:t>Un Certificat de présence</w:t>
      </w:r>
    </w:p>
    <w:p w14:paraId="054ED94B" w14:textId="713F7033" w:rsidR="007929FF" w:rsidRPr="00E0333C" w:rsidRDefault="00ED2794" w:rsidP="007929FF">
      <w:pPr>
        <w:pStyle w:val="Pardeliste"/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Un Rapport de mobilité</w:t>
      </w:r>
    </w:p>
    <w:p w14:paraId="3CF2C93E" w14:textId="77777777" w:rsidR="007929FF" w:rsidRDefault="007929FF" w:rsidP="00E63137">
      <w:pPr>
        <w:rPr>
          <w:sz w:val="22"/>
          <w:szCs w:val="22"/>
        </w:rPr>
      </w:pPr>
    </w:p>
    <w:p w14:paraId="400B8304" w14:textId="7ADA0477" w:rsidR="000E4198" w:rsidRDefault="00E63137" w:rsidP="00E63137">
      <w:pPr>
        <w:rPr>
          <w:sz w:val="22"/>
          <w:szCs w:val="22"/>
        </w:rPr>
      </w:pPr>
      <w:r>
        <w:rPr>
          <w:sz w:val="22"/>
          <w:szCs w:val="22"/>
        </w:rPr>
        <w:t xml:space="preserve">Elle </w:t>
      </w:r>
      <w:r w:rsidR="00880402">
        <w:rPr>
          <w:sz w:val="22"/>
          <w:szCs w:val="22"/>
        </w:rPr>
        <w:t xml:space="preserve">peut </w:t>
      </w:r>
      <w:r>
        <w:rPr>
          <w:sz w:val="22"/>
          <w:szCs w:val="22"/>
        </w:rPr>
        <w:t>ê</w:t>
      </w:r>
      <w:r w:rsidR="00A05A1A">
        <w:rPr>
          <w:sz w:val="22"/>
          <w:szCs w:val="22"/>
        </w:rPr>
        <w:t>tre financée par la Bourse d’établissemen</w:t>
      </w:r>
      <w:r w:rsidR="000E4198">
        <w:rPr>
          <w:sz w:val="22"/>
          <w:szCs w:val="22"/>
        </w:rPr>
        <w:t xml:space="preserve">t pour la Mobilité Hors </w:t>
      </w:r>
      <w:r w:rsidR="00EE0232">
        <w:rPr>
          <w:sz w:val="22"/>
          <w:szCs w:val="22"/>
        </w:rPr>
        <w:t>Europe</w:t>
      </w:r>
      <w:r w:rsidR="00B86F0D">
        <w:rPr>
          <w:sz w:val="22"/>
          <w:szCs w:val="22"/>
        </w:rPr>
        <w:t xml:space="preserve"> </w:t>
      </w:r>
      <w:r w:rsidR="000E4198">
        <w:rPr>
          <w:sz w:val="22"/>
          <w:szCs w:val="22"/>
        </w:rPr>
        <w:t>:</w:t>
      </w:r>
    </w:p>
    <w:p w14:paraId="14AE0340" w14:textId="7F3E5A3B" w:rsidR="00E63137" w:rsidRDefault="000E4198" w:rsidP="00E63137">
      <w:pPr>
        <w:rPr>
          <w:sz w:val="22"/>
          <w:szCs w:val="22"/>
        </w:rPr>
      </w:pPr>
      <w:r>
        <w:rPr>
          <w:sz w:val="22"/>
          <w:szCs w:val="22"/>
        </w:rPr>
        <w:t xml:space="preserve">Cette bourse concerne tous les projets de mobilité internationale qui n’entrent pas dans le cadre de la Mobilité </w:t>
      </w:r>
      <w:r w:rsidR="00B86F0D">
        <w:rPr>
          <w:sz w:val="22"/>
          <w:szCs w:val="22"/>
        </w:rPr>
        <w:t>en Europe</w:t>
      </w:r>
      <w:r>
        <w:rPr>
          <w:sz w:val="22"/>
          <w:szCs w:val="22"/>
        </w:rPr>
        <w:t>.</w:t>
      </w:r>
      <w:r w:rsidR="00A05A1A">
        <w:rPr>
          <w:sz w:val="22"/>
          <w:szCs w:val="22"/>
        </w:rPr>
        <w:t xml:space="preserve"> L’</w:t>
      </w:r>
      <w:proofErr w:type="spellStart"/>
      <w:r w:rsidR="00A05A1A">
        <w:rPr>
          <w:sz w:val="22"/>
          <w:szCs w:val="22"/>
        </w:rPr>
        <w:t>Esban</w:t>
      </w:r>
      <w:proofErr w:type="spellEnd"/>
      <w:r w:rsidR="00A05A1A">
        <w:rPr>
          <w:sz w:val="22"/>
          <w:szCs w:val="22"/>
        </w:rPr>
        <w:t xml:space="preserve"> prend en charge le </w:t>
      </w:r>
      <w:r w:rsidR="00880402">
        <w:rPr>
          <w:sz w:val="22"/>
          <w:szCs w:val="22"/>
        </w:rPr>
        <w:t>paiement</w:t>
      </w:r>
      <w:r w:rsidR="00A05A1A">
        <w:rPr>
          <w:sz w:val="22"/>
          <w:szCs w:val="22"/>
        </w:rPr>
        <w:t xml:space="preserve"> ou le remboursement des frais de </w:t>
      </w:r>
      <w:r w:rsidR="00880402">
        <w:rPr>
          <w:sz w:val="22"/>
          <w:szCs w:val="22"/>
        </w:rPr>
        <w:t>voyage</w:t>
      </w:r>
      <w:r w:rsidR="00A05A1A">
        <w:rPr>
          <w:sz w:val="22"/>
          <w:szCs w:val="22"/>
        </w:rPr>
        <w:t xml:space="preserve"> aller et retour et les frais de séjour, à partir des barèmes des frais de mission fixés par </w:t>
      </w:r>
      <w:r w:rsidR="00B86F0D">
        <w:rPr>
          <w:sz w:val="22"/>
          <w:szCs w:val="22"/>
        </w:rPr>
        <w:t>décrets</w:t>
      </w:r>
      <w:r w:rsidR="00A05A1A">
        <w:rPr>
          <w:sz w:val="22"/>
          <w:szCs w:val="22"/>
        </w:rPr>
        <w:t xml:space="preserve"> et arrêtés ministériels.</w:t>
      </w:r>
    </w:p>
    <w:p w14:paraId="72BF7D12" w14:textId="77777777" w:rsidR="00880402" w:rsidRDefault="00880402" w:rsidP="00E63137">
      <w:pPr>
        <w:rPr>
          <w:sz w:val="22"/>
          <w:szCs w:val="22"/>
        </w:rPr>
      </w:pPr>
    </w:p>
    <w:p w14:paraId="3AD52607" w14:textId="35F6DBD1" w:rsidR="00E0333C" w:rsidRDefault="00E0333C" w:rsidP="00E63137">
      <w:pPr>
        <w:rPr>
          <w:sz w:val="22"/>
          <w:szCs w:val="22"/>
        </w:rPr>
      </w:pPr>
      <w:r>
        <w:rPr>
          <w:sz w:val="22"/>
          <w:szCs w:val="22"/>
        </w:rPr>
        <w:t>L’allocation est versée dans son intégralité au plus tard le premier jour de la mobilité.</w:t>
      </w:r>
    </w:p>
    <w:p w14:paraId="335DF117" w14:textId="77777777" w:rsidR="00E0333C" w:rsidRDefault="00E0333C" w:rsidP="00E63137">
      <w:pPr>
        <w:rPr>
          <w:sz w:val="22"/>
          <w:szCs w:val="22"/>
        </w:rPr>
      </w:pPr>
    </w:p>
    <w:p w14:paraId="5A5BC04F" w14:textId="6DA97DF2" w:rsidR="00E0333C" w:rsidRDefault="00E0333C" w:rsidP="00E63137">
      <w:pPr>
        <w:rPr>
          <w:sz w:val="22"/>
          <w:szCs w:val="22"/>
        </w:rPr>
      </w:pPr>
      <w:r>
        <w:rPr>
          <w:sz w:val="22"/>
          <w:szCs w:val="22"/>
        </w:rPr>
        <w:t xml:space="preserve">L’attribution d’une Bourse </w:t>
      </w:r>
      <w:proofErr w:type="gramStart"/>
      <w:r>
        <w:rPr>
          <w:sz w:val="22"/>
          <w:szCs w:val="22"/>
        </w:rPr>
        <w:t xml:space="preserve">d’établissement </w:t>
      </w:r>
      <w:r w:rsidR="00B86F0D">
        <w:rPr>
          <w:sz w:val="22"/>
          <w:szCs w:val="22"/>
        </w:rPr>
        <w:t xml:space="preserve"> </w:t>
      </w:r>
      <w:r>
        <w:rPr>
          <w:sz w:val="22"/>
          <w:szCs w:val="22"/>
        </w:rPr>
        <w:t>pour</w:t>
      </w:r>
      <w:proofErr w:type="gramEnd"/>
      <w:r>
        <w:rPr>
          <w:sz w:val="22"/>
          <w:szCs w:val="22"/>
        </w:rPr>
        <w:t xml:space="preserve"> la Mobilité Hors Erasmus implique que le</w:t>
      </w:r>
      <w:r w:rsidR="00ED2794">
        <w:rPr>
          <w:sz w:val="22"/>
          <w:szCs w:val="22"/>
        </w:rPr>
        <w:t xml:space="preserve"> Participant</w:t>
      </w:r>
      <w:r w:rsidR="00B86F0D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14:paraId="7BFD6316" w14:textId="22E57CB3" w:rsidR="00E0333C" w:rsidRPr="00E0333C" w:rsidRDefault="00E0333C" w:rsidP="00E0333C">
      <w:pPr>
        <w:pStyle w:val="Pardeliste"/>
        <w:numPr>
          <w:ilvl w:val="0"/>
          <w:numId w:val="1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r w:rsidRPr="00E0333C">
        <w:rPr>
          <w:sz w:val="22"/>
          <w:szCs w:val="22"/>
        </w:rPr>
        <w:t>omplète</w:t>
      </w:r>
      <w:proofErr w:type="gramEnd"/>
      <w:r w:rsidRPr="00E0333C">
        <w:rPr>
          <w:sz w:val="22"/>
          <w:szCs w:val="22"/>
        </w:rPr>
        <w:t xml:space="preserve"> un état de frais</w:t>
      </w:r>
    </w:p>
    <w:p w14:paraId="2522217B" w14:textId="2D4A434A" w:rsidR="00E0333C" w:rsidRPr="00E0333C" w:rsidRDefault="00E0333C" w:rsidP="00E0333C">
      <w:pPr>
        <w:pStyle w:val="Pardeliste"/>
        <w:numPr>
          <w:ilvl w:val="0"/>
          <w:numId w:val="1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f</w:t>
      </w:r>
      <w:r w:rsidRPr="00E0333C">
        <w:rPr>
          <w:sz w:val="22"/>
          <w:szCs w:val="22"/>
        </w:rPr>
        <w:t>ournisse</w:t>
      </w:r>
      <w:proofErr w:type="gramEnd"/>
      <w:r w:rsidRPr="00E0333C">
        <w:rPr>
          <w:sz w:val="22"/>
          <w:szCs w:val="22"/>
        </w:rPr>
        <w:t xml:space="preserve"> tous les justificatifs de dépenses</w:t>
      </w:r>
    </w:p>
    <w:p w14:paraId="49A6D944" w14:textId="44683AED" w:rsidR="00E0333C" w:rsidRPr="00E0333C" w:rsidRDefault="00E0333C" w:rsidP="00B86F0D">
      <w:pPr>
        <w:pStyle w:val="Pardeliste"/>
        <w:rPr>
          <w:sz w:val="22"/>
          <w:szCs w:val="22"/>
        </w:rPr>
      </w:pPr>
    </w:p>
    <w:p w14:paraId="7F699414" w14:textId="77777777" w:rsidR="00E63137" w:rsidRPr="00E0333C" w:rsidRDefault="00E63137" w:rsidP="00E63137">
      <w:pPr>
        <w:pStyle w:val="Pardeliste"/>
        <w:numPr>
          <w:ilvl w:val="0"/>
          <w:numId w:val="2"/>
        </w:numPr>
        <w:rPr>
          <w:sz w:val="22"/>
          <w:szCs w:val="22"/>
        </w:rPr>
      </w:pPr>
    </w:p>
    <w:p w14:paraId="34BE6946" w14:textId="08299752" w:rsidR="00E63137" w:rsidRPr="000364F5" w:rsidRDefault="00E63137" w:rsidP="00E63137">
      <w:pPr>
        <w:rPr>
          <w:sz w:val="22"/>
          <w:szCs w:val="22"/>
          <w:u w:val="single"/>
        </w:rPr>
      </w:pPr>
      <w:r w:rsidRPr="000364F5">
        <w:rPr>
          <w:sz w:val="22"/>
          <w:szCs w:val="22"/>
          <w:u w:val="single"/>
        </w:rPr>
        <w:t>LES DIFF</w:t>
      </w:r>
      <w:r w:rsidR="00ED2794">
        <w:rPr>
          <w:sz w:val="22"/>
          <w:szCs w:val="22"/>
          <w:u w:val="single"/>
        </w:rPr>
        <w:t>E</w:t>
      </w:r>
      <w:r w:rsidRPr="000364F5">
        <w:rPr>
          <w:sz w:val="22"/>
          <w:szCs w:val="22"/>
          <w:u w:val="single"/>
        </w:rPr>
        <w:t>RENTES ETAPES DE LA CANDIDATURE :</w:t>
      </w:r>
    </w:p>
    <w:p w14:paraId="07D97B00" w14:textId="77777777" w:rsidR="00E63137" w:rsidRPr="000364F5" w:rsidRDefault="00E63137" w:rsidP="00E63137">
      <w:pPr>
        <w:rPr>
          <w:sz w:val="22"/>
          <w:szCs w:val="22"/>
        </w:rPr>
      </w:pPr>
      <w:r w:rsidRPr="000364F5">
        <w:rPr>
          <w:sz w:val="22"/>
          <w:szCs w:val="22"/>
        </w:rPr>
        <w:t xml:space="preserve"> </w:t>
      </w:r>
    </w:p>
    <w:p w14:paraId="4E2407E8" w14:textId="77777777" w:rsidR="00E63137" w:rsidRPr="000364F5" w:rsidRDefault="00E63137" w:rsidP="00E63137">
      <w:pPr>
        <w:rPr>
          <w:sz w:val="22"/>
          <w:szCs w:val="22"/>
        </w:rPr>
      </w:pPr>
      <w:r w:rsidRPr="000364F5">
        <w:rPr>
          <w:sz w:val="22"/>
          <w:szCs w:val="22"/>
        </w:rPr>
        <w:t>Lors des Conseils Pédagogique de janvier et de juin, les souhaits de mobilité sont exprimés.</w:t>
      </w:r>
    </w:p>
    <w:p w14:paraId="57503D80" w14:textId="77777777" w:rsidR="00E63137" w:rsidRPr="000364F5" w:rsidRDefault="00E63137" w:rsidP="00E63137">
      <w:pPr>
        <w:rPr>
          <w:sz w:val="22"/>
          <w:szCs w:val="22"/>
        </w:rPr>
      </w:pPr>
    </w:p>
    <w:p w14:paraId="3C5438C2" w14:textId="711A4857" w:rsidR="00E63137" w:rsidRPr="000364F5" w:rsidRDefault="00E63137" w:rsidP="00E63137">
      <w:pPr>
        <w:rPr>
          <w:sz w:val="22"/>
          <w:szCs w:val="22"/>
        </w:rPr>
      </w:pPr>
      <w:r w:rsidRPr="000364F5">
        <w:rPr>
          <w:sz w:val="22"/>
          <w:szCs w:val="22"/>
        </w:rPr>
        <w:lastRenderedPageBreak/>
        <w:t xml:space="preserve">Au plus tard début septembre de l’année N, le candidat à la mobilité remet la </w:t>
      </w:r>
      <w:r w:rsidRPr="00880402">
        <w:rPr>
          <w:i/>
          <w:sz w:val="22"/>
          <w:szCs w:val="22"/>
        </w:rPr>
        <w:t>Fiche Candidat</w:t>
      </w:r>
      <w:r w:rsidR="00880402" w:rsidRPr="00880402">
        <w:rPr>
          <w:i/>
          <w:sz w:val="22"/>
          <w:szCs w:val="22"/>
        </w:rPr>
        <w:t>-Mobilité du Personnel Hors Europe</w:t>
      </w:r>
      <w:r w:rsidR="00880402">
        <w:rPr>
          <w:sz w:val="22"/>
          <w:szCs w:val="22"/>
        </w:rPr>
        <w:t xml:space="preserve"> </w:t>
      </w:r>
      <w:r w:rsidRPr="000364F5">
        <w:rPr>
          <w:sz w:val="22"/>
          <w:szCs w:val="22"/>
        </w:rPr>
        <w:t>à la Directrice Générale en y joignant une lettre d’invitation de la structure d’accueil.</w:t>
      </w:r>
    </w:p>
    <w:p w14:paraId="06123B7A" w14:textId="77777777" w:rsidR="00E63137" w:rsidRPr="000364F5" w:rsidRDefault="00E63137" w:rsidP="00E63137">
      <w:pPr>
        <w:rPr>
          <w:sz w:val="22"/>
          <w:szCs w:val="22"/>
        </w:rPr>
      </w:pPr>
    </w:p>
    <w:p w14:paraId="0480785D" w14:textId="77777777" w:rsidR="00E63137" w:rsidRPr="000364F5" w:rsidRDefault="00E63137" w:rsidP="00E63137">
      <w:pPr>
        <w:rPr>
          <w:sz w:val="22"/>
          <w:szCs w:val="22"/>
        </w:rPr>
      </w:pPr>
      <w:r w:rsidRPr="000364F5">
        <w:rPr>
          <w:sz w:val="22"/>
          <w:szCs w:val="22"/>
        </w:rPr>
        <w:t>Si la mobilité est validée, une information est donnée lors du Conseil Pédagogique de rentrée (septembre).</w:t>
      </w:r>
    </w:p>
    <w:p w14:paraId="4F962E5F" w14:textId="77777777" w:rsidR="00E63137" w:rsidRPr="000364F5" w:rsidRDefault="00E63137" w:rsidP="00E63137">
      <w:pPr>
        <w:rPr>
          <w:sz w:val="22"/>
          <w:szCs w:val="22"/>
        </w:rPr>
      </w:pPr>
    </w:p>
    <w:p w14:paraId="6696C799" w14:textId="3D0B578D" w:rsidR="00B86F0D" w:rsidRDefault="00B86F0D" w:rsidP="00B86F0D">
      <w:pPr>
        <w:rPr>
          <w:sz w:val="22"/>
          <w:szCs w:val="22"/>
        </w:rPr>
      </w:pPr>
      <w:r>
        <w:rPr>
          <w:sz w:val="22"/>
          <w:szCs w:val="22"/>
        </w:rPr>
        <w:t>Un Contrat de Mobilité</w:t>
      </w:r>
      <w:r w:rsidRPr="00071452">
        <w:rPr>
          <w:sz w:val="22"/>
          <w:szCs w:val="22"/>
        </w:rPr>
        <w:t xml:space="preserve"> </w:t>
      </w:r>
      <w:r>
        <w:rPr>
          <w:sz w:val="22"/>
          <w:szCs w:val="22"/>
        </w:rPr>
        <w:t>est établi ainsi qu’un Contrat Pédagogique, s’il s’agit d’une mobilité Enseignement ou Formation.</w:t>
      </w:r>
    </w:p>
    <w:p w14:paraId="27CD3A0D" w14:textId="77777777" w:rsidR="00E0333C" w:rsidRDefault="00E0333C" w:rsidP="00E0333C">
      <w:pPr>
        <w:rPr>
          <w:sz w:val="22"/>
          <w:szCs w:val="22"/>
        </w:rPr>
      </w:pPr>
    </w:p>
    <w:p w14:paraId="60E3907E" w14:textId="77777777" w:rsidR="00B86F0D" w:rsidRDefault="00B86F0D" w:rsidP="00B86F0D">
      <w:pPr>
        <w:rPr>
          <w:sz w:val="22"/>
          <w:szCs w:val="22"/>
        </w:rPr>
      </w:pPr>
      <w:r>
        <w:rPr>
          <w:sz w:val="22"/>
          <w:szCs w:val="22"/>
        </w:rPr>
        <w:t>Au plus tard 1 mois après la date de signature du Contrat de Mobilité ou le premier jour de la mobilité, la Bourse de Mobilité Erasmus+ est versée.</w:t>
      </w:r>
    </w:p>
    <w:p w14:paraId="0B04A518" w14:textId="77777777" w:rsidR="00B86F0D" w:rsidRDefault="00B86F0D" w:rsidP="00B86F0D">
      <w:pPr>
        <w:rPr>
          <w:sz w:val="22"/>
          <w:szCs w:val="22"/>
        </w:rPr>
      </w:pPr>
    </w:p>
    <w:p w14:paraId="0DD4F546" w14:textId="77777777" w:rsidR="00B86F0D" w:rsidRDefault="00B86F0D" w:rsidP="00B86F0D">
      <w:pPr>
        <w:rPr>
          <w:sz w:val="22"/>
          <w:szCs w:val="22"/>
        </w:rPr>
      </w:pPr>
      <w:r>
        <w:rPr>
          <w:sz w:val="22"/>
          <w:szCs w:val="22"/>
        </w:rPr>
        <w:t>A son retour, le Participant remet son :</w:t>
      </w:r>
    </w:p>
    <w:p w14:paraId="3DD24311" w14:textId="77777777" w:rsidR="00B86F0D" w:rsidRDefault="00B86F0D" w:rsidP="00B86F0D">
      <w:pPr>
        <w:pStyle w:val="Par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Certificat de présence</w:t>
      </w:r>
    </w:p>
    <w:p w14:paraId="4663A556" w14:textId="77777777" w:rsidR="00B86F0D" w:rsidRDefault="00B86F0D" w:rsidP="00B86F0D">
      <w:pPr>
        <w:pStyle w:val="Pardeliste"/>
        <w:numPr>
          <w:ilvl w:val="0"/>
          <w:numId w:val="1"/>
        </w:numPr>
        <w:rPr>
          <w:sz w:val="22"/>
          <w:szCs w:val="22"/>
        </w:rPr>
      </w:pPr>
      <w:r w:rsidRPr="00237696">
        <w:rPr>
          <w:sz w:val="22"/>
          <w:szCs w:val="22"/>
        </w:rPr>
        <w:t>Rapport de Mobilité</w:t>
      </w:r>
    </w:p>
    <w:p w14:paraId="4C3E51CD" w14:textId="6CBA4E66" w:rsidR="00B86F0D" w:rsidRDefault="00B86F0D" w:rsidP="00B86F0D">
      <w:pPr>
        <w:pStyle w:val="Par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Billet A/R</w:t>
      </w:r>
    </w:p>
    <w:p w14:paraId="425E9EBC" w14:textId="42FC598E" w:rsidR="00B86F0D" w:rsidRPr="00B86F0D" w:rsidRDefault="00B86F0D" w:rsidP="00B86F0D">
      <w:pPr>
        <w:pStyle w:val="Par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Son Etat de frais et ses justificatifs de dépenses</w:t>
      </w:r>
    </w:p>
    <w:p w14:paraId="6BD87754" w14:textId="11C9B10B" w:rsidR="00CE32FD" w:rsidRDefault="00CE32FD" w:rsidP="00B86F0D">
      <w:pPr>
        <w:rPr>
          <w:sz w:val="22"/>
          <w:szCs w:val="22"/>
        </w:rPr>
      </w:pPr>
    </w:p>
    <w:tbl>
      <w:tblPr>
        <w:tblStyle w:val="Grilledutableau"/>
        <w:tblpPr w:leftFromText="141" w:rightFromText="141" w:vertAnchor="page" w:horzAnchor="page" w:tblpX="1090" w:tblpY="13505"/>
        <w:tblW w:w="9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6"/>
        <w:gridCol w:w="1029"/>
        <w:gridCol w:w="969"/>
        <w:gridCol w:w="3426"/>
        <w:gridCol w:w="1371"/>
        <w:gridCol w:w="7"/>
      </w:tblGrid>
      <w:tr w:rsidR="00CE32FD" w14:paraId="7116D8F7" w14:textId="77777777" w:rsidTr="00BC1621">
        <w:trPr>
          <w:gridAfter w:val="1"/>
          <w:wAfter w:w="7" w:type="dxa"/>
          <w:trHeight w:val="876"/>
        </w:trPr>
        <w:tc>
          <w:tcPr>
            <w:tcW w:w="4984" w:type="dxa"/>
            <w:gridSpan w:val="3"/>
          </w:tcPr>
          <w:p w14:paraId="6A66B5EB" w14:textId="77777777" w:rsidR="00CE32FD" w:rsidRPr="00C25322" w:rsidRDefault="00CE32FD" w:rsidP="00BC1621">
            <w:pPr>
              <w:pStyle w:val="Pieddepage"/>
              <w:rPr>
                <w:sz w:val="16"/>
                <w:szCs w:val="16"/>
              </w:rPr>
            </w:pPr>
            <w:r w:rsidRPr="00C25322">
              <w:rPr>
                <w:sz w:val="16"/>
                <w:szCs w:val="16"/>
              </w:rPr>
              <w:t>L’</w:t>
            </w:r>
            <w:r>
              <w:rPr>
                <w:sz w:val="16"/>
                <w:szCs w:val="16"/>
              </w:rPr>
              <w:t>Ecol</w:t>
            </w:r>
            <w:r w:rsidRPr="00C25322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 </w:t>
            </w:r>
            <w:r w:rsidRPr="00C25322">
              <w:rPr>
                <w:sz w:val="16"/>
                <w:szCs w:val="16"/>
              </w:rPr>
              <w:t>supérieure des beaux-arts de Nîmes est un établissement public de coopération culturelle. Il bénéficie du soutien de la Ville de Nîmes et du Ministère de la Culture et de la Communication.</w:t>
            </w:r>
          </w:p>
          <w:p w14:paraId="015DE180" w14:textId="77777777" w:rsidR="00CE32FD" w:rsidRDefault="00CE32FD" w:rsidP="00BC1621">
            <w:pPr>
              <w:pStyle w:val="Pieddepage"/>
            </w:pPr>
          </w:p>
        </w:tc>
        <w:tc>
          <w:tcPr>
            <w:tcW w:w="4797" w:type="dxa"/>
            <w:gridSpan w:val="2"/>
          </w:tcPr>
          <w:p w14:paraId="09A098E9" w14:textId="77777777" w:rsidR="00CE32FD" w:rsidRPr="00C25322" w:rsidRDefault="00CE32FD" w:rsidP="00BC1621">
            <w:pPr>
              <w:pStyle w:val="Pieddepage"/>
              <w:rPr>
                <w:sz w:val="16"/>
                <w:szCs w:val="16"/>
              </w:rPr>
            </w:pPr>
            <w:r w:rsidRPr="00C25322">
              <w:rPr>
                <w:sz w:val="16"/>
                <w:szCs w:val="16"/>
              </w:rPr>
              <w:t>Les programmes de mobilité sont financés avec le soutien de la Commission Européenne et de la Région Occitanie / Pyrénées-Méditerranée</w:t>
            </w:r>
          </w:p>
        </w:tc>
      </w:tr>
      <w:tr w:rsidR="00CE32FD" w14:paraId="68DB10D5" w14:textId="77777777" w:rsidTr="00BC1621">
        <w:trPr>
          <w:trHeight w:val="943"/>
        </w:trPr>
        <w:tc>
          <w:tcPr>
            <w:tcW w:w="2986" w:type="dxa"/>
          </w:tcPr>
          <w:p w14:paraId="148E7B86" w14:textId="77777777" w:rsidR="00CE32FD" w:rsidRDefault="00CE32FD" w:rsidP="00BC1621">
            <w:pPr>
              <w:pStyle w:val="Pieddepage"/>
            </w:pPr>
            <w:r w:rsidRPr="002A06AA">
              <w:rPr>
                <w:rFonts w:ascii="Apercu" w:hAnsi="Apercu"/>
                <w:b/>
                <w:noProof/>
                <w:sz w:val="32"/>
              </w:rPr>
              <w:drawing>
                <wp:inline distT="0" distB="0" distL="0" distR="0" wp14:anchorId="3721BD15" wp14:editId="245F9237">
                  <wp:extent cx="1759038" cy="519007"/>
                  <wp:effectExtent l="0" t="0" r="0" b="0"/>
                  <wp:docPr id="4" name="Image 4" descr="Macintosh HD:Users:Giulia:Documents:Administration&amp;Outils:Logo%96esban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Giulia:Documents:Administration&amp;Outils:Logo%96esban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874" cy="55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" w:type="dxa"/>
          </w:tcPr>
          <w:p w14:paraId="3925823F" w14:textId="77777777" w:rsidR="00CE32FD" w:rsidRDefault="00CE32FD" w:rsidP="00BC1621">
            <w:pPr>
              <w:pStyle w:val="Pieddepage"/>
            </w:pPr>
            <w:r>
              <w:rPr>
                <w:noProof/>
              </w:rPr>
              <w:drawing>
                <wp:inline distT="0" distB="0" distL="0" distR="0" wp14:anchorId="01791BAE" wp14:editId="1E279191">
                  <wp:extent cx="516762" cy="519007"/>
                  <wp:effectExtent l="0" t="0" r="0" b="0"/>
                  <wp:docPr id="7" name="Image 7" descr="/Volumes/DocESBAN/RelationsInternationales/LOLA/Communication Beaux-Arts/LOGOS/LOGOS ESBAN Ville MC/LOGO Ville de nimes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olumes/DocESBAN/RelationsInternationales/LOLA/Communication Beaux-Arts/LOGOS/LOGOS ESBAN Ville MC/LOGO Ville de nimes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444" cy="546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9" w:type="dxa"/>
          </w:tcPr>
          <w:p w14:paraId="6F02780F" w14:textId="77777777" w:rsidR="00CE32FD" w:rsidRDefault="00CE32FD" w:rsidP="00BC1621">
            <w:pPr>
              <w:pStyle w:val="Pieddepage"/>
            </w:pPr>
            <w:r>
              <w:rPr>
                <w:noProof/>
              </w:rPr>
              <w:drawing>
                <wp:inline distT="0" distB="0" distL="0" distR="0" wp14:anchorId="6F0839B9" wp14:editId="299B4F94">
                  <wp:extent cx="410873" cy="519007"/>
                  <wp:effectExtent l="0" t="0" r="0" b="0"/>
                  <wp:docPr id="8" name="Image 8" descr="/Volumes/DocESBAN/RelationsInternationales/LOLA/Communication Beaux-Arts/LOGOS/LOGOS ESBAN Ville MC/Logo_MCC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Volumes/DocESBAN/RelationsInternationales/LOLA/Communication Beaux-Arts/LOGOS/LOGOS ESBAN Ville MC/Logo_MCC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809" cy="556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6" w:type="dxa"/>
          </w:tcPr>
          <w:p w14:paraId="4CC4DB19" w14:textId="77777777" w:rsidR="00CE32FD" w:rsidRDefault="00CE32FD" w:rsidP="00412F5D">
            <w:pPr>
              <w:pStyle w:val="Pieddepage"/>
              <w:jc w:val="right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4648A912" wp14:editId="6C8AFC3E">
                  <wp:extent cx="1571387" cy="449043"/>
                  <wp:effectExtent l="0" t="0" r="3810" b="8255"/>
                  <wp:docPr id="3" name="Image 3" descr="../EU%20flag-Erasmus+_vect_P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EU%20flag-Erasmus+_vect_P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045" cy="47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378" w:type="dxa"/>
            <w:gridSpan w:val="2"/>
          </w:tcPr>
          <w:p w14:paraId="37162D77" w14:textId="77777777" w:rsidR="00CE32FD" w:rsidRDefault="00CE32FD" w:rsidP="00BC1621">
            <w:pPr>
              <w:pStyle w:val="Pieddepage"/>
              <w:jc w:val="center"/>
            </w:pPr>
            <w:r>
              <w:rPr>
                <w:noProof/>
              </w:rPr>
              <w:drawing>
                <wp:inline distT="0" distB="0" distL="0" distR="0" wp14:anchorId="2AFBB529" wp14:editId="1561A942">
                  <wp:extent cx="516043" cy="516043"/>
                  <wp:effectExtent l="0" t="0" r="0" b="0"/>
                  <wp:docPr id="9" name="Image 9" descr="../Logo-R-car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Logo-R-car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947" cy="546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C1B678" w14:textId="0199A49A" w:rsidR="00B86F0D" w:rsidRDefault="00CE32FD" w:rsidP="00B86F0D">
      <w:pPr>
        <w:rPr>
          <w:sz w:val="22"/>
          <w:szCs w:val="22"/>
        </w:rPr>
      </w:pPr>
      <w:r>
        <w:rPr>
          <w:sz w:val="22"/>
          <w:szCs w:val="22"/>
        </w:rPr>
        <w:t>U</w:t>
      </w:r>
      <w:r w:rsidR="00B86F0D">
        <w:rPr>
          <w:sz w:val="22"/>
          <w:szCs w:val="22"/>
        </w:rPr>
        <w:t>n certificat de mobilité lui est délivré précisant que la mobilité sera prise en compte lors de son évaluation annuelle.</w:t>
      </w:r>
    </w:p>
    <w:p w14:paraId="119CDAF8" w14:textId="77777777" w:rsidR="00E0333C" w:rsidRPr="007526E4" w:rsidRDefault="00E0333C" w:rsidP="00E0333C">
      <w:pPr>
        <w:pStyle w:val="Pardeliste"/>
        <w:rPr>
          <w:sz w:val="22"/>
          <w:szCs w:val="22"/>
        </w:rPr>
      </w:pPr>
    </w:p>
    <w:p w14:paraId="04CB1221" w14:textId="77777777" w:rsidR="00880402" w:rsidRPr="000364F5" w:rsidRDefault="00880402" w:rsidP="00E63137">
      <w:pPr>
        <w:rPr>
          <w:sz w:val="22"/>
          <w:szCs w:val="22"/>
        </w:rPr>
      </w:pPr>
    </w:p>
    <w:p w14:paraId="7D832738" w14:textId="77777777" w:rsidR="00E63137" w:rsidRDefault="00E63137" w:rsidP="00E63137">
      <w:pPr>
        <w:rPr>
          <w:rFonts w:asciiTheme="majorHAnsi" w:hAnsiTheme="majorHAnsi"/>
        </w:rPr>
      </w:pPr>
    </w:p>
    <w:p w14:paraId="2B848821" w14:textId="77777777" w:rsidR="00E63137" w:rsidRDefault="00E63137" w:rsidP="00E63137">
      <w:pPr>
        <w:rPr>
          <w:sz w:val="22"/>
          <w:szCs w:val="22"/>
        </w:rPr>
      </w:pPr>
    </w:p>
    <w:p w14:paraId="16672C56" w14:textId="77777777" w:rsidR="00E63137" w:rsidRPr="007526E4" w:rsidRDefault="00E63137" w:rsidP="00E63137">
      <w:pPr>
        <w:pStyle w:val="Pardeliste"/>
        <w:rPr>
          <w:sz w:val="22"/>
          <w:szCs w:val="22"/>
        </w:rPr>
      </w:pPr>
    </w:p>
    <w:p w14:paraId="0F1CAAA0" w14:textId="77777777" w:rsidR="000631FE" w:rsidRDefault="000631FE"/>
    <w:sectPr w:rsidR="000631FE" w:rsidSect="004213B2">
      <w:headerReference w:type="default" r:id="rId12"/>
      <w:pgSz w:w="11900" w:h="16840"/>
      <w:pgMar w:top="13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8A5D6" w14:textId="77777777" w:rsidR="00C24E05" w:rsidRDefault="00C24E05" w:rsidP="00974347">
      <w:r>
        <w:separator/>
      </w:r>
    </w:p>
  </w:endnote>
  <w:endnote w:type="continuationSeparator" w:id="0">
    <w:p w14:paraId="5641FA14" w14:textId="77777777" w:rsidR="00C24E05" w:rsidRDefault="00C24E05" w:rsidP="0097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percu">
    <w:altName w:val="Andale Mono"/>
    <w:charset w:val="00"/>
    <w:family w:val="auto"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AA4B6" w14:textId="77777777" w:rsidR="00C24E05" w:rsidRDefault="00C24E05" w:rsidP="00974347">
      <w:r>
        <w:separator/>
      </w:r>
    </w:p>
  </w:footnote>
  <w:footnote w:type="continuationSeparator" w:id="0">
    <w:p w14:paraId="0FB2E7D9" w14:textId="77777777" w:rsidR="00C24E05" w:rsidRDefault="00C24E05" w:rsidP="009743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916" w:type="dxa"/>
      <w:tblInd w:w="-8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3"/>
      <w:gridCol w:w="5283"/>
    </w:tblGrid>
    <w:tr w:rsidR="00974347" w14:paraId="28E8167B" w14:textId="77777777" w:rsidTr="005F4462">
      <w:tc>
        <w:tcPr>
          <w:tcW w:w="5633" w:type="dxa"/>
        </w:tcPr>
        <w:p w14:paraId="0D8DA370" w14:textId="06522476" w:rsidR="00974347" w:rsidRDefault="00974347" w:rsidP="005F4462">
          <w:pPr>
            <w:pStyle w:val="En-tte"/>
            <w:jc w:val="both"/>
          </w:pPr>
        </w:p>
      </w:tc>
      <w:tc>
        <w:tcPr>
          <w:tcW w:w="5283" w:type="dxa"/>
        </w:tcPr>
        <w:p w14:paraId="0DC3BAF6" w14:textId="77777777" w:rsidR="00974347" w:rsidRDefault="00974347" w:rsidP="005F4462">
          <w:pPr>
            <w:pStyle w:val="En-tte"/>
            <w:jc w:val="right"/>
          </w:pPr>
          <w:r w:rsidRPr="002A06AA">
            <w:rPr>
              <w:rFonts w:ascii="Apercu" w:hAnsi="Apercu"/>
              <w:b/>
              <w:noProof/>
              <w:sz w:val="32"/>
            </w:rPr>
            <w:drawing>
              <wp:inline distT="0" distB="0" distL="0" distR="0" wp14:anchorId="35C6F85D" wp14:editId="2D32D93C">
                <wp:extent cx="2440240" cy="720000"/>
                <wp:effectExtent l="0" t="0" r="0" b="0"/>
                <wp:docPr id="5" name="Image 5" descr="Macintosh HD:Users:Giulia:Documents:Administration&amp;Outils:Logo%96esban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Giulia:Documents:Administration&amp;Outils:Logo%96esban.p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024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8603B0F" w14:textId="77777777" w:rsidR="00974347" w:rsidRDefault="00974347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244ED"/>
    <w:multiLevelType w:val="hybridMultilevel"/>
    <w:tmpl w:val="9F18F312"/>
    <w:lvl w:ilvl="0" w:tplc="384C1E5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1180A"/>
    <w:multiLevelType w:val="hybridMultilevel"/>
    <w:tmpl w:val="C17C6BF6"/>
    <w:lvl w:ilvl="0" w:tplc="AE300C50">
      <w:numFmt w:val="bullet"/>
      <w:lvlText w:val="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37"/>
    <w:rsid w:val="000631FE"/>
    <w:rsid w:val="000E4198"/>
    <w:rsid w:val="001D765D"/>
    <w:rsid w:val="002D0C52"/>
    <w:rsid w:val="00412F5D"/>
    <w:rsid w:val="004413DE"/>
    <w:rsid w:val="005B0CB2"/>
    <w:rsid w:val="00680FA2"/>
    <w:rsid w:val="00681C76"/>
    <w:rsid w:val="007929FF"/>
    <w:rsid w:val="00880402"/>
    <w:rsid w:val="00974347"/>
    <w:rsid w:val="00A05A1A"/>
    <w:rsid w:val="00B86F0D"/>
    <w:rsid w:val="00C24E05"/>
    <w:rsid w:val="00CE32FD"/>
    <w:rsid w:val="00D0438A"/>
    <w:rsid w:val="00E0333C"/>
    <w:rsid w:val="00E63137"/>
    <w:rsid w:val="00ED2794"/>
    <w:rsid w:val="00EE0232"/>
    <w:rsid w:val="00F04C82"/>
    <w:rsid w:val="00F80323"/>
    <w:rsid w:val="00F8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F7AC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31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E63137"/>
    <w:pPr>
      <w:ind w:left="720"/>
      <w:contextualSpacing/>
    </w:pPr>
  </w:style>
  <w:style w:type="paragraph" w:customStyle="1" w:styleId="p1">
    <w:name w:val="p1"/>
    <w:basedOn w:val="Normal"/>
    <w:rsid w:val="00E63137"/>
    <w:rPr>
      <w:rFonts w:ascii="Helvetica Neue" w:hAnsi="Helvetica Neue" w:cs="Times New Roman"/>
      <w:color w:val="444444"/>
      <w:sz w:val="18"/>
      <w:szCs w:val="18"/>
      <w:lang w:eastAsia="fr-FR"/>
    </w:rPr>
  </w:style>
  <w:style w:type="character" w:customStyle="1" w:styleId="s1">
    <w:name w:val="s1"/>
    <w:basedOn w:val="Policepardfaut"/>
    <w:rsid w:val="00E63137"/>
  </w:style>
  <w:style w:type="paragraph" w:styleId="En-tte">
    <w:name w:val="header"/>
    <w:basedOn w:val="Normal"/>
    <w:link w:val="En-tteCar"/>
    <w:uiPriority w:val="99"/>
    <w:unhideWhenUsed/>
    <w:rsid w:val="009743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4347"/>
  </w:style>
  <w:style w:type="paragraph" w:styleId="Pieddepage">
    <w:name w:val="footer"/>
    <w:basedOn w:val="Normal"/>
    <w:link w:val="PieddepageCar"/>
    <w:uiPriority w:val="99"/>
    <w:unhideWhenUsed/>
    <w:rsid w:val="009743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4347"/>
  </w:style>
  <w:style w:type="table" w:styleId="Grilledutableau">
    <w:name w:val="Table Grid"/>
    <w:basedOn w:val="TableauNormal"/>
    <w:uiPriority w:val="59"/>
    <w:rsid w:val="00974347"/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478</Words>
  <Characters>2629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8</cp:revision>
  <dcterms:created xsi:type="dcterms:W3CDTF">2017-11-14T10:09:00Z</dcterms:created>
  <dcterms:modified xsi:type="dcterms:W3CDTF">2017-11-16T14:31:00Z</dcterms:modified>
</cp:coreProperties>
</file>